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487</w:t>
      </w:r>
    </w:p>
    <w:p>
      <w:r>
        <w:t>Bundesgericht (BGE), 2006-01-01, FR</w:t>
      </w:r>
    </w:p>
    <w:p>
      <w:r>
        <w:rPr>
          <w:b/>
        </w:rPr>
        <w:t xml:space="preserve">Quelle: </w:t>
      </w:r>
      <w:r>
        <w:t>https://mcp.opencaselaw.ch/entscheid/bge_132 III 487</w:t>
      </w:r>
    </w:p>
    <w:p>
      <w:r>
        <w:t>FR: ATF 132 III 487</w:t>
      </w:r>
    </w:p>
    <w:p>
      <w:r>
        <w:t>IT: DTF 132 III 487</w:t>
      </w:r>
    </w:p>
    <w:p>
      <w:pPr>
        <w:pStyle w:val="Heading2"/>
      </w:pPr>
      <w:r>
        <w:t>Regeste</w:t>
      </w:r>
    </w:p>
    <w:p>
      <w:r>
        <w:t>Regeste Arrest oder Pfändung von eingelagerten Waren; Kostenübernahme für die Lagerung (Art. 105 SchKG). Die Mitteilung, mit welcher das Betreibungsamt den Dritten als Lagerhalter über seine Verpflichtung gemäss Art. 98 Abs. 2 SchKG informiert, die einstweilen in seinen Händen gelassenen Waren jederzeit zur Verfügung zu halten, bewirkt nicht die Unterbrechung oder gar Beendigung des Lagervertrages; die Lagerhaltungskosten richten sich weiterhin nach jenem Vertrag. Wenn dieser hingegen durch Fristablauf oder Kündigung endet und das Betreibungsamt anordnet, dass als Sicherungsmassnahme die verarrestierten oder gepfändeten Waren beim Lagerhalter in Verwahrung bleiben, kann vom Gläubiger verlangt werden, die Lagerhaltungskosten gestützt auf Art. 105 SchKG vorzuschiessen (E. 1 und 2).</w:t>
      </w:r>
    </w:p>
    <w:p>
      <w:pPr>
        <w:pStyle w:val="Heading2"/>
      </w:pPr>
      <w:r>
        <w:t>Erwägungen</w:t>
      </w:r>
    </w:p>
    <w:p>
      <w:r>
        <w:rPr>
          <w:b/>
        </w:rPr>
        <w:t>E. 1</w:t>
      </w:r>
    </w:p>
    <w:p>
      <w:r>
        <w:t>L'office des poursuites chargé d'exécuter le séquestre de marchandises conformément aux art. 91 à 109 LP ( art. 275 LP ) peut les laisser provisoirement entre les mains du débiteur ou du tiers détenteur, à charge de les représenter en tout temps ( art. 98 al. 2 LP ); il les place toutefois sous sa garde ou celle d'un tiers s'il estime cette mesure opportune ou si le créancier rend vraisemblable qu'elle est nécessaire pour assurer les droits constitués en sa faveur par le séquestre ( art. 98 al. 3 LP ).</w:t>
      </w:r>
    </w:p>
    <w:p>
      <w:r>
        <w:rPr>
          <w:b/>
        </w:rPr>
        <w:t>E. 2</w:t>
      </w:r>
    </w:p>
    <w:p>
      <w:r>
        <w:t>En l'espèce, il est constant que les marchandises séquestrées, entreposées depuis novembre 1998 auprès de la recourante en vertu d'un contrat d'entreposage, ont été laissées entre les mains de celle-ci, à charge pour elle de les représenter en tout temps, conformément à l' art. 98 al. 2 LP . L'avis adressé par l'office à la recourante à titre de mesure de sûreté visait à empêcher qu'on dispose des marchandises mises sous main de justice, qu'on les dissimule ou qu'on compromette de toute autre manière le résultat de la poursuite, pendante ou future, de la créancière séquestrante (P.-R. GILLIÉRON, Commentaire de la loi fédérale sur la poursuite pour dettes et la faillite, n. 10 ad art. 271 LP ). Ledit avis restreignait ainsi le droit de l'entreposant d'obtenir la restitution des marchandises entreposées; il ne saurait avoir eu pour effet de suspendre le contrat d'entreposage lui-même, voire d'y mettre fin. Comme le retient à juste titre la Commission cantonale de recours, les frais d'entreposage litigieux ne sont pas des frais générés par le BGE 132 III 487 S. 489 séquestre mais résultent de l'exécution du contrat d'entreposage toujours en vigueur entre la recourante et la débitrice séquestrée; ils doivent dès lors être traités conformément à ce que prévoit ce contrat. Ce n'est que si celui-ci prenait fin, du fait de son arrivée à échéance ou de sa résiliation, qu'il appartiendrait à l'office de prendre des mesures de sûreté adéquates pour assurer les droits constitués en faveur de la créancière séquestrante. Si les marchandises restaient alors sous la garde de l'entrepositaire, les frais liés à leur entreposage ne seraient plus dus en exécution du contrat en question, mais représenteraient des frais générés par l'exécution du séquestre. Dans cette hypothèse, l'office serait en droit d'exiger de la créancière l'avance des frais de conservation des marchandises séquestrées en application de l' art. 105 LP . Contrairement à ce que soutient la recourante, en se référant à P.-R. GILLIÉRON (op. cit., n. 13 ad art. 105 LP et ATF 58 III 129 , p. 131/ 132 cité par cet auteur), il ne suffit pas d'une demande de l'entrepositaire tendant au paiement de l'avance des frais d'entreposage par le créancier, il faut encore, selon la jurisprudence précitée, que l'office ait ordonné lui-même la mesure d'entreposage. Cela signifie que le tiers doit avoir été désigné comme gardien ou comme gérant par l'office. Lorsque, au moment de l'exécution du séquestre ou de la saisie, le bien séquestré ou saisi se trouve en main d'un tiers (p. ex. dépositaire, entrepositaire, entrepreneur chargé de le réparer), l'office n'assume aucune responsabilité pour les frais de magasinage; ni lui ni le créancier poursuivant n'ont à supporter ces frais (GILLIÉRON, loc. cit.). L'une des deux conditions (cumulatives) posées par la jurisprudence, à savoir un entreposage ordonné par l'office, n'étant pas remplie en l'espèce, la créancière séquestrante ne pouvait être requise de faire une avance de frais au sens de l' art. 105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